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380" w:lineRule="exact"/>
        <w:jc w:val="center"/>
        <w:rPr>
          <w:rFonts w:hint="eastAsia" w:ascii="宋体" w:hAnsi="宋体" w:cs="宋体"/>
          <w:b/>
          <w:bCs w:val="0"/>
          <w:color w:val="000000"/>
          <w:kern w:val="0"/>
          <w:sz w:val="36"/>
          <w:szCs w:val="36"/>
          <w:lang w:val="en-US" w:eastAsia="zh-CN"/>
        </w:rPr>
      </w:pPr>
      <w:bookmarkStart w:id="0" w:name="_GoBack"/>
      <w:r>
        <w:rPr>
          <w:rFonts w:hint="eastAsia" w:ascii="宋体" w:hAnsi="宋体" w:cs="宋体"/>
          <w:b/>
          <w:bCs w:val="0"/>
          <w:color w:val="000000"/>
          <w:kern w:val="0"/>
          <w:sz w:val="32"/>
          <w:szCs w:val="32"/>
          <w:lang w:val="en-US" w:eastAsia="zh-CN"/>
        </w:rPr>
        <w:t>四川外国语大学成都学院团总支工作量化考核标准(修订）</w:t>
      </w:r>
    </w:p>
    <w:bookmarkEnd w:id="0"/>
    <w:p>
      <w:pPr>
        <w:widowControl/>
        <w:numPr>
          <w:ilvl w:val="0"/>
          <w:numId w:val="0"/>
        </w:numPr>
        <w:spacing w:line="380" w:lineRule="exact"/>
        <w:jc w:val="both"/>
        <w:rPr>
          <w:rFonts w:hint="eastAsia" w:ascii="宋体" w:hAnsi="宋体" w:cs="宋体"/>
          <w:b/>
          <w:bCs w:val="0"/>
          <w:color w:val="000000"/>
          <w:kern w:val="0"/>
          <w:sz w:val="36"/>
          <w:szCs w:val="36"/>
          <w:lang w:val="en-US" w:eastAsia="zh-CN"/>
        </w:rPr>
      </w:pPr>
      <w:r>
        <w:rPr>
          <w:rFonts w:hint="eastAsia" w:ascii="宋体" w:hAnsi="宋体" w:cs="宋体"/>
          <w:b/>
          <w:bCs w:val="0"/>
          <w:color w:val="000000"/>
          <w:kern w:val="0"/>
          <w:sz w:val="28"/>
          <w:szCs w:val="28"/>
          <w:lang w:val="en-US" w:eastAsia="zh-CN"/>
        </w:rPr>
        <w:t>单位（盖章）：</w:t>
      </w:r>
      <w:r>
        <w:rPr>
          <w:rFonts w:hint="eastAsia" w:ascii="宋体" w:hAnsi="宋体" w:cs="宋体"/>
          <w:b/>
          <w:bCs w:val="0"/>
          <w:color w:val="000000"/>
          <w:kern w:val="0"/>
          <w:sz w:val="36"/>
          <w:szCs w:val="36"/>
          <w:lang w:val="en-US" w:eastAsia="zh-CN"/>
        </w:rPr>
        <w:t xml:space="preserve">                                  </w:t>
      </w:r>
    </w:p>
    <w:tbl>
      <w:tblPr>
        <w:tblStyle w:val="2"/>
        <w:tblpPr w:leftFromText="180" w:rightFromText="180" w:vertAnchor="text" w:horzAnchor="page" w:tblpX="778" w:tblpY="517"/>
        <w:tblOverlap w:val="never"/>
        <w:tblW w:w="15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5401"/>
        <w:gridCol w:w="800"/>
        <w:gridCol w:w="7503"/>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60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kern w:val="0"/>
                <w:sz w:val="18"/>
                <w:szCs w:val="18"/>
              </w:rPr>
            </w:pPr>
            <w:r>
              <w:rPr>
                <w:rFonts w:hint="eastAsia" w:ascii="宋体" w:hAnsi="宋体" w:cs="宋体"/>
                <w:b/>
                <w:kern w:val="0"/>
                <w:sz w:val="18"/>
                <w:szCs w:val="18"/>
              </w:rPr>
              <w:t>考核内容</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ascii="宋体" w:hAnsi="宋体" w:cs="宋体"/>
                <w:b/>
                <w:spacing w:val="-10"/>
                <w:kern w:val="0"/>
                <w:sz w:val="18"/>
                <w:szCs w:val="18"/>
              </w:rPr>
            </w:pPr>
            <w:r>
              <w:rPr>
                <w:rFonts w:hint="eastAsia" w:ascii="宋体" w:hAnsi="宋体" w:cs="宋体"/>
                <w:b/>
                <w:spacing w:val="-10"/>
                <w:kern w:val="0"/>
                <w:sz w:val="18"/>
                <w:szCs w:val="18"/>
              </w:rPr>
              <w:t>最高分</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spacing w:val="-10"/>
                <w:kern w:val="0"/>
                <w:sz w:val="18"/>
                <w:szCs w:val="18"/>
              </w:rPr>
            </w:pPr>
            <w:r>
              <w:rPr>
                <w:rFonts w:hint="eastAsia" w:ascii="宋体" w:hAnsi="宋体" w:cs="宋体"/>
                <w:b/>
                <w:spacing w:val="-10"/>
                <w:kern w:val="0"/>
                <w:sz w:val="18"/>
                <w:szCs w:val="18"/>
              </w:rPr>
              <w:t>具体说明</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ascii="宋体" w:hAnsi="宋体" w:cs="宋体"/>
                <w:b/>
                <w:spacing w:val="-10"/>
                <w:kern w:val="0"/>
                <w:sz w:val="18"/>
                <w:szCs w:val="18"/>
              </w:rPr>
            </w:pPr>
            <w:r>
              <w:rPr>
                <w:rFonts w:hint="eastAsia" w:ascii="宋体" w:hAnsi="宋体" w:cs="宋体"/>
                <w:b/>
                <w:spacing w:val="-10"/>
                <w:kern w:val="0"/>
                <w:sz w:val="18"/>
                <w:szCs w:val="18"/>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kern w:val="0"/>
                <w:sz w:val="18"/>
                <w:szCs w:val="18"/>
              </w:rPr>
            </w:pPr>
            <w:r>
              <w:rPr>
                <w:rFonts w:hint="eastAsia" w:ascii="宋体" w:hAnsi="宋体" w:cs="宋体"/>
                <w:b/>
                <w:kern w:val="0"/>
                <w:sz w:val="18"/>
                <w:szCs w:val="18"/>
              </w:rPr>
              <w:t>班</w:t>
            </w:r>
          </w:p>
          <w:p>
            <w:pPr>
              <w:widowControl/>
              <w:spacing w:line="300" w:lineRule="exact"/>
              <w:jc w:val="center"/>
              <w:rPr>
                <w:rFonts w:hint="eastAsia" w:ascii="宋体" w:hAnsi="宋体" w:cs="宋体"/>
                <w:b/>
                <w:kern w:val="0"/>
                <w:sz w:val="18"/>
                <w:szCs w:val="18"/>
              </w:rPr>
            </w:pPr>
            <w:r>
              <w:rPr>
                <w:rFonts w:hint="eastAsia" w:ascii="宋体" w:hAnsi="宋体" w:cs="宋体"/>
                <w:b/>
                <w:kern w:val="0"/>
                <w:sz w:val="18"/>
                <w:szCs w:val="18"/>
              </w:rPr>
              <w:t>子</w:t>
            </w:r>
          </w:p>
          <w:p>
            <w:pPr>
              <w:widowControl/>
              <w:spacing w:line="300" w:lineRule="exact"/>
              <w:jc w:val="center"/>
              <w:rPr>
                <w:rFonts w:hint="eastAsia" w:ascii="宋体" w:hAnsi="宋体" w:cs="宋体"/>
                <w:b/>
                <w:kern w:val="0"/>
                <w:sz w:val="18"/>
                <w:szCs w:val="18"/>
              </w:rPr>
            </w:pPr>
            <w:r>
              <w:rPr>
                <w:rFonts w:hint="eastAsia" w:ascii="宋体" w:hAnsi="宋体" w:cs="宋体"/>
                <w:b/>
                <w:kern w:val="0"/>
                <w:sz w:val="18"/>
                <w:szCs w:val="18"/>
              </w:rPr>
              <w:t>建</w:t>
            </w:r>
          </w:p>
          <w:p>
            <w:pPr>
              <w:widowControl/>
              <w:spacing w:line="300" w:lineRule="exact"/>
              <w:jc w:val="center"/>
              <w:rPr>
                <w:rFonts w:hint="eastAsia" w:ascii="宋体" w:hAnsi="宋体" w:cs="宋体"/>
                <w:b/>
                <w:kern w:val="0"/>
                <w:sz w:val="18"/>
                <w:szCs w:val="18"/>
              </w:rPr>
            </w:pPr>
            <w:r>
              <w:rPr>
                <w:rFonts w:hint="eastAsia" w:ascii="宋体" w:hAnsi="宋体" w:cs="宋体"/>
                <w:b/>
                <w:kern w:val="0"/>
                <w:sz w:val="18"/>
                <w:szCs w:val="18"/>
              </w:rPr>
              <w:t>设</w:t>
            </w:r>
          </w:p>
          <w:p>
            <w:pPr>
              <w:widowControl/>
              <w:spacing w:line="300" w:lineRule="exact"/>
              <w:jc w:val="center"/>
              <w:rPr>
                <w:rFonts w:ascii="宋体" w:hAnsi="宋体" w:cs="宋体"/>
                <w:b/>
                <w:kern w:val="0"/>
                <w:sz w:val="18"/>
                <w:szCs w:val="18"/>
              </w:rPr>
            </w:pPr>
            <w:r>
              <w:rPr>
                <w:rFonts w:hint="eastAsia" w:ascii="宋体" w:hAnsi="宋体" w:cs="宋体"/>
                <w:b/>
                <w:kern w:val="0"/>
                <w:sz w:val="18"/>
                <w:szCs w:val="18"/>
                <w:lang w:val="en-US" w:eastAsia="zh-CN"/>
              </w:rPr>
              <w:t>16</w:t>
            </w:r>
            <w:r>
              <w:rPr>
                <w:rFonts w:hint="eastAsia" w:ascii="宋体" w:hAnsi="宋体" w:cs="宋体"/>
                <w:b/>
                <w:kern w:val="0"/>
                <w:sz w:val="18"/>
                <w:szCs w:val="18"/>
              </w:rPr>
              <w:t>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1、每年按时上报工作计划及总结（</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每年按时上报工作计划、工作总结，完成一项得</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2、团总支换届工作规范有序（</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具备换届工作正式文件、通知并积极宣传</w:t>
            </w:r>
            <w:r>
              <w:rPr>
                <w:rFonts w:hint="eastAsia" w:ascii="宋体" w:hAnsi="宋体" w:eastAsia="宋体" w:cs="宋体"/>
                <w:kern w:val="0"/>
                <w:sz w:val="18"/>
                <w:szCs w:val="18"/>
                <w:lang w:val="en-US" w:eastAsia="zh-CN"/>
              </w:rPr>
              <w:t>得2.5</w:t>
            </w:r>
            <w:r>
              <w:rPr>
                <w:rFonts w:hint="eastAsia" w:ascii="宋体" w:hAnsi="宋体" w:eastAsia="宋体" w:cs="宋体"/>
                <w:kern w:val="0"/>
                <w:sz w:val="18"/>
                <w:szCs w:val="18"/>
              </w:rPr>
              <w:t>分，换届后及时上报干部名单</w:t>
            </w:r>
            <w:r>
              <w:rPr>
                <w:rFonts w:hint="eastAsia" w:ascii="宋体" w:hAnsi="宋体" w:eastAsia="宋体" w:cs="宋体"/>
                <w:kern w:val="0"/>
                <w:sz w:val="18"/>
                <w:szCs w:val="18"/>
                <w:lang w:val="en-US" w:eastAsia="zh-CN"/>
              </w:rPr>
              <w:t>得0.5</w:t>
            </w:r>
            <w:r>
              <w:rPr>
                <w:rFonts w:hint="eastAsia" w:ascii="宋体" w:hAnsi="宋体" w:eastAsia="宋体" w:cs="宋体"/>
                <w:kern w:val="0"/>
                <w:sz w:val="18"/>
                <w:szCs w:val="18"/>
              </w:rPr>
              <w:t>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、有健全的学生干部管理与培训制度（</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每年能对团支部及其以上学生干部进行集中培训得</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分；有完整的学生团干部培训管理制度得</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、组织学生干部参加</w:t>
            </w:r>
            <w:r>
              <w:rPr>
                <w:rFonts w:hint="eastAsia" w:ascii="宋体" w:hAnsi="宋体" w:eastAsia="宋体" w:cs="宋体"/>
                <w:kern w:val="0"/>
                <w:sz w:val="18"/>
                <w:szCs w:val="18"/>
                <w:lang w:eastAsia="zh-CN"/>
              </w:rPr>
              <w:t>学校学生干部培训</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组织得力且效果好的得</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分；本</w:t>
            </w:r>
            <w:r>
              <w:rPr>
                <w:rFonts w:hint="eastAsia" w:ascii="宋体" w:hAnsi="宋体" w:eastAsia="宋体" w:cs="宋体"/>
                <w:kern w:val="0"/>
                <w:sz w:val="18"/>
                <w:szCs w:val="18"/>
                <w:lang w:eastAsia="zh-CN"/>
              </w:rPr>
              <w:t>院</w:t>
            </w:r>
            <w:r>
              <w:rPr>
                <w:rFonts w:hint="eastAsia" w:ascii="宋体" w:hAnsi="宋体" w:eastAsia="宋体" w:cs="宋体"/>
                <w:kern w:val="0"/>
                <w:sz w:val="18"/>
                <w:szCs w:val="18"/>
              </w:rPr>
              <w:t>参加培训缺席人数累计达到应参加人数的20％的不得分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团总支学生干部作风优良，无违规行为</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学生干部队伍有违反国家、学校相关规定的</w:t>
            </w:r>
            <w:r>
              <w:rPr>
                <w:rFonts w:hint="eastAsia" w:ascii="宋体" w:hAnsi="宋体" w:eastAsia="宋体" w:cs="宋体"/>
                <w:kern w:val="0"/>
                <w:sz w:val="18"/>
                <w:szCs w:val="18"/>
              </w:rPr>
              <w:t>不得分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
                <w:kern w:val="0"/>
                <w:sz w:val="18"/>
                <w:szCs w:val="18"/>
              </w:rPr>
            </w:pPr>
            <w:r>
              <w:rPr>
                <w:rFonts w:hint="eastAsia" w:ascii="宋体" w:hAnsi="宋体" w:cs="宋体"/>
                <w:b/>
                <w:kern w:val="0"/>
                <w:sz w:val="18"/>
                <w:szCs w:val="18"/>
              </w:rPr>
              <w:t>思</w:t>
            </w:r>
          </w:p>
          <w:p>
            <w:pPr>
              <w:widowControl/>
              <w:spacing w:line="300" w:lineRule="exact"/>
              <w:jc w:val="center"/>
              <w:rPr>
                <w:rFonts w:hint="eastAsia" w:ascii="宋体" w:hAnsi="宋体" w:cs="宋体"/>
                <w:b/>
                <w:kern w:val="0"/>
                <w:sz w:val="18"/>
                <w:szCs w:val="18"/>
              </w:rPr>
            </w:pPr>
            <w:r>
              <w:rPr>
                <w:rFonts w:hint="eastAsia" w:ascii="宋体" w:hAnsi="宋体" w:cs="宋体"/>
                <w:b/>
                <w:kern w:val="0"/>
                <w:sz w:val="18"/>
                <w:szCs w:val="18"/>
              </w:rPr>
              <w:t>想</w:t>
            </w:r>
          </w:p>
          <w:p>
            <w:pPr>
              <w:widowControl/>
              <w:spacing w:line="300" w:lineRule="exact"/>
              <w:jc w:val="center"/>
              <w:rPr>
                <w:rFonts w:hint="eastAsia" w:ascii="宋体" w:hAnsi="宋体" w:cs="宋体"/>
                <w:b/>
                <w:kern w:val="0"/>
                <w:sz w:val="18"/>
                <w:szCs w:val="18"/>
              </w:rPr>
            </w:pPr>
            <w:r>
              <w:rPr>
                <w:rFonts w:hint="eastAsia" w:ascii="宋体" w:hAnsi="宋体" w:cs="宋体"/>
                <w:b/>
                <w:kern w:val="0"/>
                <w:sz w:val="18"/>
                <w:szCs w:val="18"/>
              </w:rPr>
              <w:t>建</w:t>
            </w:r>
          </w:p>
          <w:p>
            <w:pPr>
              <w:widowControl/>
              <w:spacing w:line="300" w:lineRule="exact"/>
              <w:jc w:val="center"/>
              <w:rPr>
                <w:rFonts w:ascii="宋体" w:hAnsi="宋体" w:cs="宋体"/>
                <w:b/>
                <w:kern w:val="0"/>
                <w:sz w:val="18"/>
                <w:szCs w:val="18"/>
              </w:rPr>
            </w:pPr>
            <w:r>
              <w:rPr>
                <w:rFonts w:hint="eastAsia" w:ascii="宋体" w:hAnsi="宋体" w:cs="宋体"/>
                <w:b/>
                <w:kern w:val="0"/>
                <w:sz w:val="18"/>
                <w:szCs w:val="18"/>
              </w:rPr>
              <w:t>设</w:t>
            </w:r>
          </w:p>
          <w:p>
            <w:pPr>
              <w:widowControl/>
              <w:spacing w:line="300" w:lineRule="exact"/>
              <w:jc w:val="center"/>
              <w:rPr>
                <w:rFonts w:ascii="宋体" w:hAnsi="宋体" w:cs="宋体"/>
                <w:b/>
                <w:kern w:val="0"/>
                <w:sz w:val="18"/>
                <w:szCs w:val="18"/>
              </w:rPr>
            </w:pPr>
            <w:r>
              <w:rPr>
                <w:rFonts w:hint="eastAsia" w:ascii="宋体" w:hAnsi="宋体" w:cs="宋体"/>
                <w:b/>
                <w:kern w:val="0"/>
                <w:sz w:val="18"/>
                <w:szCs w:val="18"/>
                <w:lang w:val="en-US" w:eastAsia="zh-CN"/>
              </w:rPr>
              <w:t>20</w:t>
            </w:r>
            <w:r>
              <w:rPr>
                <w:rFonts w:hint="eastAsia" w:ascii="宋体" w:hAnsi="宋体" w:cs="宋体"/>
                <w:b/>
                <w:kern w:val="0"/>
                <w:sz w:val="18"/>
                <w:szCs w:val="18"/>
              </w:rPr>
              <w:t>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1、围绕构建社会主义核心价值体系，党的路线、方针、政策及结合学校建设等主题开展的主题团日活动</w:t>
            </w:r>
            <w:r>
              <w:rPr>
                <w:rFonts w:hint="eastAsia" w:ascii="宋体" w:hAnsi="宋体" w:eastAsia="宋体" w:cs="宋体"/>
                <w:kern w:val="0"/>
                <w:sz w:val="18"/>
                <w:szCs w:val="18"/>
                <w:lang w:eastAsia="zh-CN"/>
              </w:rPr>
              <w:t>、班会、讨论</w:t>
            </w:r>
            <w:r>
              <w:rPr>
                <w:rFonts w:hint="eastAsia" w:ascii="宋体" w:hAnsi="宋体" w:eastAsia="宋体" w:cs="宋体"/>
                <w:kern w:val="0"/>
                <w:sz w:val="18"/>
                <w:szCs w:val="18"/>
              </w:rPr>
              <w:t>等学习教育活动且教育效果好（</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开展1次得1.5</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2次得2.5分，3次及以上且宣传教育效果好有影响力得4分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eastAsia="zh-CN"/>
              </w:rPr>
              <w:t>每学期</w:t>
            </w:r>
            <w:r>
              <w:rPr>
                <w:rFonts w:hint="eastAsia" w:ascii="宋体" w:hAnsi="宋体" w:eastAsia="宋体" w:cs="宋体"/>
                <w:color w:val="auto"/>
                <w:kern w:val="0"/>
                <w:sz w:val="18"/>
                <w:szCs w:val="18"/>
              </w:rPr>
              <w:t>能开展至少1次主题鲜明、教育效果明显的大型主题团日</w:t>
            </w:r>
            <w:r>
              <w:rPr>
                <w:rFonts w:hint="eastAsia" w:ascii="宋体" w:hAnsi="宋体" w:eastAsia="宋体" w:cs="宋体"/>
                <w:color w:val="auto"/>
                <w:kern w:val="0"/>
                <w:sz w:val="18"/>
                <w:szCs w:val="18"/>
                <w:lang w:eastAsia="zh-CN"/>
              </w:rPr>
              <w:t>、团组织生活</w:t>
            </w:r>
            <w:r>
              <w:rPr>
                <w:rFonts w:hint="eastAsia" w:ascii="宋体" w:hAnsi="宋体" w:eastAsia="宋体" w:cs="宋体"/>
                <w:color w:val="auto"/>
                <w:kern w:val="0"/>
                <w:sz w:val="18"/>
                <w:szCs w:val="18"/>
              </w:rPr>
              <w:t>观摩活动，同时</w:t>
            </w:r>
            <w:r>
              <w:rPr>
                <w:rFonts w:hint="eastAsia" w:ascii="宋体" w:hAnsi="宋体" w:eastAsia="宋体" w:cs="宋体"/>
                <w:color w:val="auto"/>
                <w:kern w:val="0"/>
                <w:sz w:val="18"/>
                <w:szCs w:val="18"/>
                <w:lang w:eastAsia="zh-CN"/>
              </w:rPr>
              <w:t>对优秀进行</w:t>
            </w:r>
            <w:r>
              <w:rPr>
                <w:rFonts w:hint="eastAsia" w:ascii="宋体" w:hAnsi="宋体" w:eastAsia="宋体" w:cs="宋体"/>
                <w:color w:val="auto"/>
                <w:kern w:val="0"/>
                <w:sz w:val="18"/>
                <w:szCs w:val="18"/>
              </w:rPr>
              <w:t>评选表彰（</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每学期</w:t>
            </w:r>
            <w:r>
              <w:rPr>
                <w:rFonts w:hint="eastAsia" w:ascii="宋体" w:hAnsi="宋体" w:eastAsia="宋体" w:cs="宋体"/>
                <w:color w:val="auto"/>
                <w:kern w:val="0"/>
                <w:sz w:val="18"/>
                <w:szCs w:val="18"/>
              </w:rPr>
              <w:t>开展一次大型主题团日</w:t>
            </w:r>
            <w:r>
              <w:rPr>
                <w:rFonts w:hint="eastAsia" w:ascii="宋体" w:hAnsi="宋体" w:eastAsia="宋体" w:cs="宋体"/>
                <w:color w:val="auto"/>
                <w:kern w:val="0"/>
                <w:sz w:val="18"/>
                <w:szCs w:val="18"/>
                <w:lang w:eastAsia="zh-CN"/>
              </w:rPr>
              <w:t>或主题团组织生活</w:t>
            </w:r>
            <w:r>
              <w:rPr>
                <w:rFonts w:hint="eastAsia" w:ascii="宋体" w:hAnsi="宋体" w:eastAsia="宋体" w:cs="宋体"/>
                <w:color w:val="auto"/>
                <w:kern w:val="0"/>
                <w:sz w:val="18"/>
                <w:szCs w:val="18"/>
              </w:rPr>
              <w:t>观摩活动得</w:t>
            </w:r>
            <w:r>
              <w:rPr>
                <w:rFonts w:hint="eastAsia" w:ascii="宋体" w:hAnsi="宋体" w:eastAsia="宋体" w:cs="宋体"/>
                <w:color w:val="auto"/>
                <w:kern w:val="0"/>
                <w:sz w:val="18"/>
                <w:szCs w:val="18"/>
                <w:lang w:val="en-US" w:eastAsia="zh-CN"/>
              </w:rPr>
              <w:t>3.5</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eastAsia="zh-CN"/>
              </w:rPr>
              <w:t>开展优秀评选及表彰得</w:t>
            </w:r>
            <w:r>
              <w:rPr>
                <w:rFonts w:hint="eastAsia" w:ascii="宋体" w:hAnsi="宋体" w:eastAsia="宋体" w:cs="宋体"/>
                <w:color w:val="auto"/>
                <w:kern w:val="0"/>
                <w:sz w:val="18"/>
                <w:szCs w:val="18"/>
                <w:lang w:val="en-US" w:eastAsia="zh-CN"/>
              </w:rPr>
              <w:t>0.5分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3、能结合</w:t>
            </w:r>
            <w:r>
              <w:rPr>
                <w:rFonts w:hint="eastAsia" w:ascii="宋体" w:hAnsi="宋体" w:eastAsia="宋体" w:cs="宋体"/>
                <w:color w:val="auto"/>
                <w:kern w:val="0"/>
                <w:sz w:val="18"/>
                <w:szCs w:val="18"/>
                <w:lang w:val="en-US" w:eastAsia="zh-CN"/>
              </w:rPr>
              <w:t>3月志愿服务月、五四评优表彰、社会实践、志愿服务等各类先进典型学生的事例开展宣传教育或者经验分享活动</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开展</w:t>
            </w:r>
            <w:r>
              <w:rPr>
                <w:rFonts w:hint="eastAsia" w:ascii="宋体" w:hAnsi="宋体" w:eastAsia="宋体" w:cs="宋体"/>
                <w:color w:val="auto"/>
                <w:kern w:val="0"/>
                <w:sz w:val="18"/>
                <w:szCs w:val="18"/>
                <w:lang w:val="en-US" w:eastAsia="zh-CN"/>
              </w:rPr>
              <w:t>1次得2.5分，2次以上</w:t>
            </w:r>
            <w:r>
              <w:rPr>
                <w:rFonts w:hint="eastAsia" w:ascii="宋体" w:hAnsi="宋体" w:eastAsia="宋体" w:cs="宋体"/>
                <w:color w:val="auto"/>
                <w:kern w:val="0"/>
                <w:sz w:val="18"/>
                <w:szCs w:val="18"/>
              </w:rPr>
              <w:t>且效果好得</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4、各团总支有宣传阵地，并且积极宣传团的工作，积极转发上级团组织关于团的活动或工作；尤其在网上共青团建设中，积极利用新媒体宣传团的工作（4分）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团总支网页建设、</w:t>
            </w:r>
            <w:r>
              <w:rPr>
                <w:rFonts w:hint="eastAsia" w:ascii="宋体" w:hAnsi="宋体" w:eastAsia="宋体" w:cs="宋体"/>
                <w:color w:val="auto"/>
                <w:sz w:val="18"/>
                <w:szCs w:val="18"/>
              </w:rPr>
              <w:t>微博、微信</w:t>
            </w:r>
            <w:r>
              <w:rPr>
                <w:rFonts w:hint="eastAsia" w:ascii="宋体" w:hAnsi="宋体" w:eastAsia="宋体" w:cs="宋体"/>
                <w:color w:val="auto"/>
                <w:sz w:val="18"/>
                <w:szCs w:val="18"/>
                <w:lang w:eastAsia="zh-CN"/>
              </w:rPr>
              <w:t>建设完整得</w:t>
            </w:r>
            <w:r>
              <w:rPr>
                <w:rFonts w:hint="eastAsia" w:ascii="宋体" w:hAnsi="宋体" w:eastAsia="宋体" w:cs="宋体"/>
                <w:color w:val="auto"/>
                <w:sz w:val="18"/>
                <w:szCs w:val="18"/>
                <w:lang w:val="en-US" w:eastAsia="zh-CN"/>
              </w:rPr>
              <w:t>2分，</w:t>
            </w:r>
            <w:r>
              <w:rPr>
                <w:rFonts w:hint="eastAsia" w:ascii="宋体" w:hAnsi="宋体" w:eastAsia="宋体" w:cs="宋体"/>
                <w:color w:val="auto"/>
                <w:sz w:val="18"/>
                <w:szCs w:val="18"/>
                <w:lang w:eastAsia="zh-CN"/>
              </w:rPr>
              <w:t>积极转发上级团组织关于团的活动或者工作得</w:t>
            </w:r>
            <w:r>
              <w:rPr>
                <w:rFonts w:hint="eastAsia" w:ascii="宋体" w:hAnsi="宋体" w:eastAsia="宋体" w:cs="宋体"/>
                <w:color w:val="auto"/>
                <w:sz w:val="18"/>
                <w:szCs w:val="18"/>
                <w:lang w:val="en-US" w:eastAsia="zh-CN"/>
              </w:rPr>
              <w:t>1分，微信公众号有关团的宣传、团学工作等推文每学年20篇以上得1分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6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5、坚持组织团员青年在上级团组织媒体平台上进行学习提升，积极参与“青年大学习”、关注“共青团中央”、“天府新青年”、“青聚锦官城”等团的新媒体，积极参与上级团组织开展的活动（4分）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坚持动员组织青年学习得</w:t>
            </w:r>
            <w:r>
              <w:rPr>
                <w:rFonts w:hint="eastAsia" w:ascii="宋体" w:hAnsi="宋体" w:eastAsia="宋体" w:cs="宋体"/>
                <w:color w:val="auto"/>
                <w:sz w:val="18"/>
                <w:szCs w:val="18"/>
                <w:lang w:val="en-US" w:eastAsia="zh-CN"/>
              </w:rPr>
              <w:t>3.5分，覆盖率较高且组织效果好得0.5分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1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宋体" w:hAnsi="宋体" w:cs="宋体"/>
                <w:b/>
                <w:color w:val="auto"/>
                <w:kern w:val="0"/>
                <w:sz w:val="18"/>
                <w:szCs w:val="18"/>
              </w:rPr>
            </w:pPr>
            <w:r>
              <w:rPr>
                <w:rFonts w:hint="eastAsia" w:ascii="宋体" w:hAnsi="宋体" w:cs="宋体"/>
                <w:b/>
                <w:color w:val="auto"/>
                <w:kern w:val="0"/>
                <w:sz w:val="18"/>
                <w:szCs w:val="18"/>
              </w:rPr>
              <w:t>组</w:t>
            </w:r>
          </w:p>
          <w:p>
            <w:pPr>
              <w:widowControl/>
              <w:spacing w:line="300" w:lineRule="exact"/>
              <w:jc w:val="center"/>
              <w:rPr>
                <w:rFonts w:hint="eastAsia" w:ascii="宋体" w:hAnsi="宋体" w:cs="宋体"/>
                <w:b/>
                <w:color w:val="auto"/>
                <w:kern w:val="0"/>
                <w:sz w:val="18"/>
                <w:szCs w:val="18"/>
              </w:rPr>
            </w:pPr>
            <w:r>
              <w:rPr>
                <w:rFonts w:hint="eastAsia" w:ascii="宋体" w:hAnsi="宋体" w:cs="宋体"/>
                <w:b/>
                <w:color w:val="auto"/>
                <w:kern w:val="0"/>
                <w:sz w:val="18"/>
                <w:szCs w:val="18"/>
              </w:rPr>
              <w:t>织</w:t>
            </w:r>
          </w:p>
          <w:p>
            <w:pPr>
              <w:widowControl/>
              <w:spacing w:line="300" w:lineRule="exact"/>
              <w:jc w:val="center"/>
              <w:rPr>
                <w:rFonts w:hint="eastAsia" w:ascii="宋体" w:hAnsi="宋体" w:cs="宋体"/>
                <w:b/>
                <w:color w:val="auto"/>
                <w:kern w:val="0"/>
                <w:sz w:val="18"/>
                <w:szCs w:val="18"/>
              </w:rPr>
            </w:pPr>
            <w:r>
              <w:rPr>
                <w:rFonts w:hint="eastAsia" w:ascii="宋体" w:hAnsi="宋体" w:cs="宋体"/>
                <w:b/>
                <w:color w:val="auto"/>
                <w:kern w:val="0"/>
                <w:sz w:val="18"/>
                <w:szCs w:val="18"/>
              </w:rPr>
              <w:t>建</w:t>
            </w:r>
          </w:p>
          <w:p>
            <w:pPr>
              <w:widowControl/>
              <w:spacing w:line="300" w:lineRule="exact"/>
              <w:jc w:val="center"/>
              <w:rPr>
                <w:rFonts w:hint="eastAsia" w:ascii="宋体" w:hAnsi="宋体" w:cs="宋体"/>
                <w:b/>
                <w:color w:val="auto"/>
                <w:kern w:val="0"/>
                <w:sz w:val="18"/>
                <w:szCs w:val="18"/>
              </w:rPr>
            </w:pPr>
            <w:r>
              <w:rPr>
                <w:rFonts w:hint="eastAsia" w:ascii="宋体" w:hAnsi="宋体" w:cs="宋体"/>
                <w:b/>
                <w:color w:val="auto"/>
                <w:kern w:val="0"/>
                <w:sz w:val="18"/>
                <w:szCs w:val="18"/>
              </w:rPr>
              <w:t>设</w:t>
            </w:r>
          </w:p>
          <w:p>
            <w:pPr>
              <w:widowControl/>
              <w:spacing w:line="300" w:lineRule="exact"/>
              <w:jc w:val="center"/>
              <w:rPr>
                <w:rFonts w:ascii="宋体" w:hAnsi="宋体" w:cs="宋体"/>
                <w:b/>
                <w:color w:val="auto"/>
                <w:kern w:val="0"/>
                <w:sz w:val="18"/>
                <w:szCs w:val="18"/>
              </w:rPr>
            </w:pPr>
            <w:r>
              <w:rPr>
                <w:rFonts w:hint="eastAsia" w:ascii="宋体" w:hAnsi="宋体" w:cs="宋体"/>
                <w:b/>
                <w:color w:val="auto"/>
                <w:kern w:val="0"/>
                <w:sz w:val="18"/>
                <w:szCs w:val="18"/>
                <w:lang w:val="en-US" w:eastAsia="zh-CN"/>
              </w:rPr>
              <w:t>20</w:t>
            </w:r>
            <w:r>
              <w:rPr>
                <w:rFonts w:hint="eastAsia" w:ascii="宋体" w:hAnsi="宋体" w:cs="宋体"/>
                <w:b/>
                <w:color w:val="auto"/>
                <w:kern w:val="0"/>
                <w:sz w:val="18"/>
                <w:szCs w:val="18"/>
              </w:rPr>
              <w:t>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1、团总支相关档案建设健全（</w:t>
            </w:r>
            <w:r>
              <w:rPr>
                <w:rFonts w:hint="eastAsia" w:ascii="宋体" w:hAnsi="宋体" w:eastAsia="宋体" w:cs="宋体"/>
                <w:color w:val="auto"/>
                <w:kern w:val="0"/>
                <w:sz w:val="18"/>
                <w:szCs w:val="18"/>
                <w:lang w:val="en-US" w:eastAsia="zh-CN"/>
              </w:rPr>
              <w:t>3</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没有建立相关档案不得分；建设不健全只得</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2、团总支</w:t>
            </w:r>
            <w:r>
              <w:rPr>
                <w:rFonts w:hint="eastAsia" w:ascii="宋体" w:hAnsi="宋体" w:eastAsia="宋体" w:cs="宋体"/>
                <w:color w:val="auto"/>
                <w:sz w:val="18"/>
                <w:szCs w:val="18"/>
              </w:rPr>
              <w:t>工作计划、总结、活动策划、活动心得等</w:t>
            </w:r>
            <w:r>
              <w:rPr>
                <w:rFonts w:hint="eastAsia" w:ascii="宋体" w:hAnsi="宋体" w:eastAsia="宋体" w:cs="宋体"/>
                <w:color w:val="auto"/>
                <w:sz w:val="18"/>
                <w:szCs w:val="18"/>
                <w:lang w:eastAsia="zh-CN"/>
              </w:rPr>
              <w:t>有详细图文资料（</w:t>
            </w:r>
            <w:r>
              <w:rPr>
                <w:rFonts w:hint="eastAsia" w:ascii="宋体" w:hAnsi="宋体" w:eastAsia="宋体" w:cs="宋体"/>
                <w:color w:val="auto"/>
                <w:sz w:val="18"/>
                <w:szCs w:val="18"/>
                <w:lang w:val="en-US" w:eastAsia="zh-CN"/>
              </w:rPr>
              <w:t>3分）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不完全得</w:t>
            </w:r>
            <w:r>
              <w:rPr>
                <w:rFonts w:hint="eastAsia" w:ascii="宋体" w:hAnsi="宋体" w:eastAsia="宋体" w:cs="宋体"/>
                <w:color w:val="auto"/>
                <w:kern w:val="0"/>
                <w:sz w:val="18"/>
                <w:szCs w:val="18"/>
                <w:lang w:val="en-US" w:eastAsia="zh-CN"/>
              </w:rPr>
              <w:t>2分，归档健全得3分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r>
              <w:rPr>
                <w:rFonts w:hint="eastAsia" w:ascii="宋体" w:hAnsi="宋体" w:eastAsia="宋体" w:cs="宋体"/>
                <w:color w:val="auto"/>
                <w:sz w:val="18"/>
                <w:szCs w:val="18"/>
              </w:rPr>
              <w:t>团费收缴、组织关系转接、年度团籍注册、组织发展团员、团员奖惩等工作认真、及时地开展并符合组织的程序和规定</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3分）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上报材料不规范、上报不及时得</w:t>
            </w:r>
            <w:r>
              <w:rPr>
                <w:rFonts w:hint="eastAsia" w:ascii="宋体" w:hAnsi="宋体" w:eastAsia="宋体" w:cs="宋体"/>
                <w:color w:val="auto"/>
                <w:kern w:val="0"/>
                <w:sz w:val="18"/>
                <w:szCs w:val="18"/>
                <w:lang w:val="en-US" w:eastAsia="zh-CN"/>
              </w:rPr>
              <w:t>2分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4、积极推荐优秀学生到学院学生组织任主要干部（2分）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学院学生</w:t>
            </w:r>
            <w:r>
              <w:rPr>
                <w:rFonts w:hint="eastAsia" w:ascii="宋体" w:hAnsi="宋体" w:eastAsia="宋体" w:cs="宋体"/>
                <w:color w:val="auto"/>
                <w:kern w:val="0"/>
                <w:sz w:val="18"/>
                <w:szCs w:val="18"/>
                <w:lang w:val="en-US" w:eastAsia="zh-CN"/>
              </w:rPr>
              <w:t>组织</w:t>
            </w:r>
            <w:r>
              <w:rPr>
                <w:rFonts w:hint="eastAsia" w:ascii="宋体" w:hAnsi="宋体" w:eastAsia="宋体" w:cs="宋体"/>
                <w:color w:val="auto"/>
                <w:kern w:val="0"/>
                <w:sz w:val="18"/>
                <w:szCs w:val="18"/>
                <w:lang w:eastAsia="zh-CN"/>
              </w:rPr>
              <w:t>部长级以上干部（含</w:t>
            </w:r>
            <w:r>
              <w:rPr>
                <w:rFonts w:hint="eastAsia" w:ascii="宋体" w:hAnsi="宋体" w:eastAsia="宋体" w:cs="宋体"/>
                <w:color w:val="auto"/>
                <w:kern w:val="0"/>
                <w:sz w:val="18"/>
                <w:szCs w:val="18"/>
                <w:lang w:val="en-US" w:eastAsia="zh-CN"/>
              </w:rPr>
              <w:t>社团社</w:t>
            </w:r>
            <w:r>
              <w:rPr>
                <w:rFonts w:hint="eastAsia" w:ascii="宋体" w:hAnsi="宋体" w:eastAsia="宋体" w:cs="宋体"/>
                <w:color w:val="auto"/>
                <w:kern w:val="0"/>
                <w:sz w:val="18"/>
                <w:szCs w:val="18"/>
                <w:lang w:eastAsia="zh-CN"/>
              </w:rPr>
              <w:t>长、副</w:t>
            </w:r>
            <w:r>
              <w:rPr>
                <w:rFonts w:hint="eastAsia" w:ascii="宋体" w:hAnsi="宋体" w:eastAsia="宋体" w:cs="宋体"/>
                <w:color w:val="auto"/>
                <w:kern w:val="0"/>
                <w:sz w:val="18"/>
                <w:szCs w:val="18"/>
                <w:lang w:val="en-US" w:eastAsia="zh-CN"/>
              </w:rPr>
              <w:t>社</w:t>
            </w:r>
            <w:r>
              <w:rPr>
                <w:rFonts w:hint="eastAsia" w:ascii="宋体" w:hAnsi="宋体" w:eastAsia="宋体" w:cs="宋体"/>
                <w:color w:val="auto"/>
                <w:kern w:val="0"/>
                <w:sz w:val="18"/>
                <w:szCs w:val="18"/>
                <w:lang w:eastAsia="zh-CN"/>
              </w:rPr>
              <w:t>长）占比低于</w:t>
            </w:r>
            <w:r>
              <w:rPr>
                <w:rFonts w:hint="eastAsia" w:ascii="宋体" w:hAnsi="宋体" w:eastAsia="宋体" w:cs="宋体"/>
                <w:color w:val="auto"/>
                <w:kern w:val="0"/>
                <w:sz w:val="18"/>
                <w:szCs w:val="18"/>
                <w:lang w:val="en-US" w:eastAsia="zh-CN"/>
              </w:rPr>
              <w:t>0.5%得0.5分，0.6%—0.99%得1.5分，1.0%以上得2分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认真组织开展团委组织的各项团活动，如团组织生活、志愿服</w:t>
            </w:r>
            <w:r>
              <w:rPr>
                <w:rFonts w:hint="eastAsia" w:ascii="宋体" w:hAnsi="宋体" w:eastAsia="宋体" w:cs="宋体"/>
                <w:color w:val="auto"/>
                <w:kern w:val="0"/>
                <w:sz w:val="18"/>
                <w:szCs w:val="18"/>
                <w:lang w:val="en-US" w:eastAsia="zh-CN"/>
              </w:rPr>
              <w:t>务</w:t>
            </w:r>
            <w:r>
              <w:rPr>
                <w:rFonts w:hint="eastAsia" w:ascii="宋体" w:hAnsi="宋体" w:eastAsia="宋体" w:cs="宋体"/>
                <w:color w:val="auto"/>
                <w:kern w:val="0"/>
                <w:sz w:val="18"/>
                <w:szCs w:val="18"/>
                <w:lang w:eastAsia="zh-CN"/>
              </w:rPr>
              <w:t>月主题活动、</w:t>
            </w:r>
            <w:r>
              <w:rPr>
                <w:rFonts w:hint="eastAsia" w:ascii="宋体" w:hAnsi="宋体" w:eastAsia="宋体" w:cs="宋体"/>
                <w:color w:val="auto"/>
                <w:kern w:val="0"/>
                <w:sz w:val="18"/>
                <w:szCs w:val="18"/>
              </w:rPr>
              <w:t>五四表彰的创建、评选工作</w:t>
            </w:r>
            <w:r>
              <w:rPr>
                <w:rFonts w:hint="eastAsia" w:ascii="宋体" w:hAnsi="宋体" w:eastAsia="宋体" w:cs="宋体"/>
                <w:color w:val="auto"/>
                <w:kern w:val="0"/>
                <w:sz w:val="18"/>
                <w:szCs w:val="18"/>
                <w:lang w:eastAsia="zh-CN"/>
              </w:rPr>
              <w:t>等，并积极汇总资料，按时上报</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3</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组织开展但上报材料不及时，不规范得</w:t>
            </w:r>
            <w:r>
              <w:rPr>
                <w:rFonts w:hint="eastAsia" w:ascii="宋体" w:hAnsi="宋体" w:eastAsia="宋体" w:cs="宋体"/>
                <w:color w:val="auto"/>
                <w:kern w:val="0"/>
                <w:sz w:val="18"/>
                <w:szCs w:val="18"/>
                <w:lang w:val="en-US" w:eastAsia="zh-CN"/>
              </w:rPr>
              <w:t>2.5分，积极主动提前上报且材料齐全得3分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6、每学期各团总支至少开展一次交流活动，如院之间交流、对外交流等（4分）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开展一次活动得</w:t>
            </w:r>
            <w:r>
              <w:rPr>
                <w:rFonts w:hint="eastAsia" w:ascii="宋体" w:hAnsi="宋体" w:eastAsia="宋体" w:cs="宋体"/>
                <w:color w:val="auto"/>
                <w:kern w:val="0"/>
                <w:sz w:val="18"/>
                <w:szCs w:val="18"/>
                <w:lang w:val="en-US" w:eastAsia="zh-CN"/>
              </w:rPr>
              <w:t>3分，开展2次及以上且效果良好得4分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7、团支部定期换届并每学期至少召开一次民主生活会（2分）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定期换届</w:t>
            </w:r>
            <w:r>
              <w:rPr>
                <w:rFonts w:hint="eastAsia" w:ascii="宋体" w:hAnsi="宋体" w:eastAsia="宋体" w:cs="宋体"/>
                <w:color w:val="auto"/>
                <w:kern w:val="0"/>
                <w:sz w:val="18"/>
                <w:szCs w:val="18"/>
                <w:lang w:val="en-US" w:eastAsia="zh-CN"/>
              </w:rPr>
              <w:t>1分，召开民主生活会1分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616" w:type="dxa"/>
            <w:vMerge w:val="restart"/>
            <w:tcBorders>
              <w:left w:val="single" w:color="auto" w:sz="4" w:space="0"/>
              <w:right w:val="single" w:color="auto" w:sz="4" w:space="0"/>
            </w:tcBorders>
            <w:noWrap w:val="0"/>
            <w:vAlign w:val="center"/>
          </w:tcPr>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学</w:t>
            </w:r>
          </w:p>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术</w:t>
            </w:r>
          </w:p>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竞</w:t>
            </w:r>
          </w:p>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赛</w:t>
            </w:r>
          </w:p>
          <w:p>
            <w:pPr>
              <w:widowControl/>
              <w:spacing w:line="300" w:lineRule="exact"/>
              <w:jc w:val="center"/>
              <w:rPr>
                <w:rFonts w:hint="eastAsia" w:ascii="宋体" w:hAnsi="宋体" w:cs="宋体"/>
                <w:b/>
                <w:color w:val="auto"/>
                <w:kern w:val="0"/>
                <w:sz w:val="18"/>
                <w:szCs w:val="18"/>
                <w:lang w:val="en-US" w:eastAsia="zh-CN"/>
              </w:rPr>
            </w:pPr>
            <w:r>
              <w:rPr>
                <w:rFonts w:hint="eastAsia" w:ascii="宋体" w:hAnsi="宋体" w:cs="宋体"/>
                <w:b/>
                <w:color w:val="auto"/>
                <w:kern w:val="0"/>
                <w:sz w:val="18"/>
                <w:szCs w:val="18"/>
                <w:lang w:val="en-US" w:eastAsia="zh-CN"/>
              </w:rPr>
              <w:t>12分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1、每学年至少开展三次结合本院专业特色的学术活动，且学生参加数量不低于总人数的50%（3分）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有组织但次数</w:t>
            </w:r>
            <w:r>
              <w:rPr>
                <w:rFonts w:hint="eastAsia" w:ascii="宋体" w:hAnsi="宋体" w:eastAsia="宋体" w:cs="宋体"/>
                <w:color w:val="auto"/>
                <w:kern w:val="0"/>
                <w:sz w:val="18"/>
                <w:szCs w:val="18"/>
                <w:lang w:val="en-US" w:eastAsia="zh-CN"/>
              </w:rPr>
              <w:t>或</w:t>
            </w:r>
            <w:r>
              <w:rPr>
                <w:rFonts w:hint="eastAsia" w:ascii="宋体" w:hAnsi="宋体" w:eastAsia="宋体" w:cs="宋体"/>
                <w:color w:val="auto"/>
                <w:kern w:val="0"/>
                <w:sz w:val="18"/>
                <w:szCs w:val="18"/>
                <w:lang w:eastAsia="zh-CN"/>
              </w:rPr>
              <w:t>人数不达标、效果不佳得</w:t>
            </w:r>
            <w:r>
              <w:rPr>
                <w:rFonts w:hint="eastAsia" w:ascii="宋体" w:hAnsi="宋体" w:eastAsia="宋体" w:cs="宋体"/>
                <w:color w:val="auto"/>
                <w:kern w:val="0"/>
                <w:sz w:val="18"/>
                <w:szCs w:val="18"/>
                <w:lang w:val="en-US" w:eastAsia="zh-CN"/>
              </w:rPr>
              <w:t>2.5分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2、积极组织参与国家、省、市专业类竞赛活动并获奖（4分）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有组织参与</w:t>
            </w:r>
            <w:r>
              <w:rPr>
                <w:rFonts w:hint="eastAsia" w:ascii="宋体" w:hAnsi="宋体" w:eastAsia="宋体" w:cs="宋体"/>
                <w:color w:val="auto"/>
                <w:kern w:val="0"/>
                <w:sz w:val="18"/>
                <w:szCs w:val="18"/>
                <w:lang w:val="en-US" w:eastAsia="zh-CN"/>
              </w:rPr>
              <w:t>3分，获得国家级得0.5分，省级0.3.分，市级0.2分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3、配合学院专业竞赛活动，积极组织参与并获奖（5分）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有组织参与</w:t>
            </w:r>
            <w:r>
              <w:rPr>
                <w:rFonts w:hint="eastAsia" w:ascii="宋体" w:hAnsi="宋体" w:eastAsia="宋体" w:cs="宋体"/>
                <w:color w:val="auto"/>
                <w:kern w:val="0"/>
                <w:sz w:val="18"/>
                <w:szCs w:val="18"/>
                <w:lang w:val="en-US" w:eastAsia="zh-CN"/>
              </w:rPr>
              <w:t>3.5分，获一、二、三等奖分别计0.7分、0.5分、0.3分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616" w:type="dxa"/>
            <w:vMerge w:val="restart"/>
            <w:tcBorders>
              <w:left w:val="single" w:color="auto" w:sz="4" w:space="0"/>
              <w:right w:val="single" w:color="auto" w:sz="4" w:space="0"/>
            </w:tcBorders>
            <w:noWrap w:val="0"/>
            <w:vAlign w:val="center"/>
          </w:tcPr>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文</w:t>
            </w:r>
          </w:p>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体</w:t>
            </w:r>
          </w:p>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活</w:t>
            </w:r>
          </w:p>
          <w:p>
            <w:pPr>
              <w:widowControl/>
              <w:spacing w:line="300" w:lineRule="exact"/>
              <w:jc w:val="center"/>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动</w:t>
            </w:r>
          </w:p>
          <w:p>
            <w:pPr>
              <w:widowControl/>
              <w:spacing w:line="300" w:lineRule="exact"/>
              <w:jc w:val="center"/>
              <w:rPr>
                <w:rFonts w:hint="eastAsia" w:ascii="宋体" w:hAnsi="宋体" w:cs="宋体"/>
                <w:b/>
                <w:color w:val="auto"/>
                <w:kern w:val="0"/>
                <w:sz w:val="18"/>
                <w:szCs w:val="18"/>
                <w:lang w:val="en-US" w:eastAsia="zh-CN"/>
              </w:rPr>
            </w:pPr>
            <w:r>
              <w:rPr>
                <w:rFonts w:hint="eastAsia" w:ascii="宋体" w:hAnsi="宋体" w:cs="宋体"/>
                <w:b/>
                <w:color w:val="auto"/>
                <w:kern w:val="0"/>
                <w:sz w:val="18"/>
                <w:szCs w:val="18"/>
                <w:lang w:val="en-US" w:eastAsia="zh-CN"/>
              </w:rPr>
              <w:t>8分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1、组织开展学院内文化活动，动员学生参加校、内外文化艺术活动、比赛（3分）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有组织参与</w:t>
            </w:r>
            <w:r>
              <w:rPr>
                <w:rFonts w:hint="eastAsia" w:ascii="宋体" w:hAnsi="宋体" w:eastAsia="宋体" w:cs="宋体"/>
                <w:color w:val="auto"/>
                <w:kern w:val="0"/>
                <w:sz w:val="18"/>
                <w:szCs w:val="18"/>
                <w:lang w:val="en-US" w:eastAsia="zh-CN"/>
              </w:rPr>
              <w:t>2.5分，效果良好得0.5分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2、组织学生参与拔河比赛、篮球比赛、足球、羽毛球、乒乓球、排球等体育类活动（5分）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有组织参与</w:t>
            </w:r>
            <w:r>
              <w:rPr>
                <w:rFonts w:hint="eastAsia" w:ascii="宋体" w:hAnsi="宋体" w:eastAsia="宋体" w:cs="宋体"/>
                <w:color w:val="auto"/>
                <w:kern w:val="0"/>
                <w:sz w:val="18"/>
                <w:szCs w:val="18"/>
                <w:lang w:val="en-US" w:eastAsia="zh-CN"/>
              </w:rPr>
              <w:t>4分，获一、二、三名及道德风尚奖分别计0.4分、0.3分、0.2分、0.1分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16" w:type="dxa"/>
            <w:vMerge w:val="restart"/>
            <w:tcBorders>
              <w:left w:val="single" w:color="auto" w:sz="4" w:space="0"/>
              <w:right w:val="single" w:color="auto" w:sz="4" w:space="0"/>
            </w:tcBorders>
            <w:noWrap w:val="0"/>
            <w:vAlign w:val="center"/>
          </w:tcPr>
          <w:p>
            <w:pPr>
              <w:widowControl/>
              <w:spacing w:line="300" w:lineRule="exact"/>
              <w:jc w:val="left"/>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社会实践</w:t>
            </w:r>
          </w:p>
          <w:p>
            <w:pPr>
              <w:widowControl/>
              <w:spacing w:line="300" w:lineRule="exact"/>
              <w:jc w:val="left"/>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志愿服务</w:t>
            </w:r>
          </w:p>
          <w:p>
            <w:pPr>
              <w:widowControl/>
              <w:spacing w:line="300" w:lineRule="exact"/>
              <w:jc w:val="left"/>
              <w:rPr>
                <w:rFonts w:hint="eastAsia" w:ascii="宋体" w:hAnsi="宋体" w:cs="宋体"/>
                <w:b/>
                <w:color w:val="auto"/>
                <w:kern w:val="0"/>
                <w:sz w:val="18"/>
                <w:szCs w:val="18"/>
                <w:lang w:val="en-US" w:eastAsia="zh-CN"/>
              </w:rPr>
            </w:pPr>
            <w:r>
              <w:rPr>
                <w:rFonts w:hint="eastAsia" w:ascii="宋体" w:hAnsi="宋体" w:cs="宋体"/>
                <w:b/>
                <w:color w:val="auto"/>
                <w:kern w:val="0"/>
                <w:sz w:val="18"/>
                <w:szCs w:val="18"/>
                <w:lang w:val="en-US" w:eastAsia="zh-CN"/>
              </w:rPr>
              <w:t>14分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1、学生参加社会实践基本情况 (</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组织学生参加社会实践得</w:t>
            </w:r>
            <w:r>
              <w:rPr>
                <w:rFonts w:hint="eastAsia" w:ascii="宋体" w:hAnsi="宋体" w:eastAsia="宋体" w:cs="宋体"/>
                <w:color w:val="auto"/>
                <w:kern w:val="0"/>
                <w:sz w:val="18"/>
                <w:szCs w:val="18"/>
                <w:lang w:val="en-US" w:eastAsia="zh-CN"/>
              </w:rPr>
              <w:t>3</w:t>
            </w:r>
            <w:r>
              <w:rPr>
                <w:rFonts w:hint="eastAsia" w:ascii="宋体" w:hAnsi="宋体" w:eastAsia="宋体" w:cs="宋体"/>
                <w:color w:val="auto"/>
                <w:kern w:val="0"/>
                <w:sz w:val="18"/>
                <w:szCs w:val="18"/>
              </w:rPr>
              <w:t>分；组织工作得力，有前期动员培训和后期总结表彰的得</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社会实践活动新闻媒体报道情况（主要是指报纸、电视台、网络媒体等）（</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各</w:t>
            </w:r>
            <w:r>
              <w:rPr>
                <w:rFonts w:hint="eastAsia" w:ascii="宋体" w:hAnsi="宋体" w:eastAsia="宋体" w:cs="宋体"/>
                <w:color w:val="auto"/>
                <w:kern w:val="0"/>
                <w:sz w:val="18"/>
                <w:szCs w:val="18"/>
                <w:lang w:val="en-US" w:eastAsia="zh-CN"/>
              </w:rPr>
              <w:t>学院</w:t>
            </w:r>
            <w:r>
              <w:rPr>
                <w:rFonts w:hint="eastAsia" w:ascii="宋体" w:hAnsi="宋体" w:eastAsia="宋体" w:cs="宋体"/>
                <w:color w:val="auto"/>
                <w:kern w:val="0"/>
                <w:sz w:val="18"/>
                <w:szCs w:val="18"/>
                <w:lang w:eastAsia="zh-CN"/>
              </w:rPr>
              <w:t>积极报道得</w:t>
            </w:r>
            <w:r>
              <w:rPr>
                <w:rFonts w:hint="eastAsia" w:ascii="宋体" w:hAnsi="宋体" w:eastAsia="宋体" w:cs="宋体"/>
                <w:color w:val="auto"/>
                <w:kern w:val="0"/>
                <w:sz w:val="18"/>
                <w:szCs w:val="18"/>
                <w:lang w:val="en-US" w:eastAsia="zh-CN"/>
              </w:rPr>
              <w:t>1.5分，学校、省市级、国家媒体报道得0.5分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3、每学年以团总支牵头、团队为单位至少开展4次走进社区、服务社会等公益类志愿服务活动</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次数不达标者得</w:t>
            </w:r>
            <w:r>
              <w:rPr>
                <w:rFonts w:hint="eastAsia" w:ascii="宋体" w:hAnsi="宋体" w:eastAsia="宋体" w:cs="宋体"/>
                <w:color w:val="auto"/>
                <w:kern w:val="0"/>
                <w:sz w:val="18"/>
                <w:szCs w:val="18"/>
                <w:lang w:val="en-US" w:eastAsia="zh-CN"/>
              </w:rPr>
              <w:t>3分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4、积极推动大学生志愿服务西部计划、暑期“三下乡“、”逐梦计划、返家乡等工作，组织动员学生积极参与（2分）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组织动员学生积极参与得</w:t>
            </w:r>
            <w:r>
              <w:rPr>
                <w:rFonts w:hint="eastAsia" w:ascii="宋体" w:hAnsi="宋体" w:eastAsia="宋体" w:cs="宋体"/>
                <w:color w:val="auto"/>
                <w:kern w:val="0"/>
                <w:sz w:val="18"/>
                <w:szCs w:val="18"/>
                <w:lang w:val="en-US" w:eastAsia="zh-CN"/>
              </w:rPr>
              <w:t>1.5分，参与人数较多且效果良好得0.5分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5、志愿服务平台（志愿四川、青聚锦官城）活跃，活动丰富，参与人员广泛（2分）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积极发布活动得1.5，类型多样、效果良好得0.5</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16" w:type="dxa"/>
            <w:vMerge w:val="restart"/>
            <w:tcBorders>
              <w:left w:val="single" w:color="auto" w:sz="4" w:space="0"/>
              <w:right w:val="single" w:color="auto" w:sz="4" w:space="0"/>
            </w:tcBorders>
            <w:noWrap w:val="0"/>
            <w:vAlign w:val="center"/>
          </w:tcPr>
          <w:p>
            <w:pPr>
              <w:widowControl/>
              <w:spacing w:line="300" w:lineRule="exact"/>
              <w:jc w:val="left"/>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创新创业</w:t>
            </w:r>
          </w:p>
          <w:p>
            <w:pPr>
              <w:widowControl/>
              <w:spacing w:line="300" w:lineRule="exact"/>
              <w:jc w:val="left"/>
              <w:rPr>
                <w:rFonts w:hint="eastAsia" w:ascii="宋体" w:hAnsi="宋体" w:cs="宋体"/>
                <w:b/>
                <w:color w:val="auto"/>
                <w:kern w:val="0"/>
                <w:sz w:val="18"/>
                <w:szCs w:val="18"/>
                <w:lang w:eastAsia="zh-CN"/>
              </w:rPr>
            </w:pPr>
            <w:r>
              <w:rPr>
                <w:rFonts w:hint="eastAsia" w:ascii="宋体" w:hAnsi="宋体" w:cs="宋体"/>
                <w:b/>
                <w:color w:val="auto"/>
                <w:kern w:val="0"/>
                <w:sz w:val="18"/>
                <w:szCs w:val="18"/>
                <w:lang w:eastAsia="zh-CN"/>
              </w:rPr>
              <w:t>就业促进</w:t>
            </w:r>
          </w:p>
          <w:p>
            <w:pPr>
              <w:widowControl/>
              <w:spacing w:line="300" w:lineRule="exact"/>
              <w:jc w:val="left"/>
              <w:rPr>
                <w:rFonts w:hint="eastAsia" w:ascii="宋体" w:hAnsi="宋体" w:cs="宋体"/>
                <w:b/>
                <w:color w:val="auto"/>
                <w:kern w:val="0"/>
                <w:sz w:val="18"/>
                <w:szCs w:val="18"/>
                <w:lang w:val="en-US" w:eastAsia="zh-CN"/>
              </w:rPr>
            </w:pPr>
            <w:r>
              <w:rPr>
                <w:rFonts w:hint="eastAsia" w:ascii="宋体" w:hAnsi="宋体" w:cs="宋体"/>
                <w:b/>
                <w:color w:val="auto"/>
                <w:kern w:val="0"/>
                <w:sz w:val="18"/>
                <w:szCs w:val="18"/>
                <w:lang w:val="en-US" w:eastAsia="zh-CN"/>
              </w:rPr>
              <w:t>10分</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1、每学年开展至少2次创新创业及就业促进工作相关培训、交流、会议等活动（4分）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开展</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lang w:eastAsia="zh-CN"/>
              </w:rPr>
              <w:t>次得</w:t>
            </w:r>
            <w:r>
              <w:rPr>
                <w:rFonts w:hint="eastAsia" w:ascii="宋体" w:hAnsi="宋体" w:eastAsia="宋体" w:cs="宋体"/>
                <w:color w:val="auto"/>
                <w:kern w:val="0"/>
                <w:sz w:val="18"/>
                <w:szCs w:val="18"/>
                <w:lang w:val="en-US" w:eastAsia="zh-CN"/>
              </w:rPr>
              <w:t>3分，开展2次及以上得4分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2、认真做好双创工作的政策宣传及指导，积极鼓励学生参与创新创业团队建设，每学年有新增创业团队（4分）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积极宣传引导学生，鼓励参与团队建设得</w:t>
            </w:r>
            <w:r>
              <w:rPr>
                <w:rFonts w:hint="eastAsia" w:ascii="宋体" w:hAnsi="宋体" w:eastAsia="宋体" w:cs="宋体"/>
                <w:color w:val="auto"/>
                <w:kern w:val="0"/>
                <w:sz w:val="18"/>
                <w:szCs w:val="18"/>
                <w:lang w:val="en-US" w:eastAsia="zh-CN"/>
              </w:rPr>
              <w:t>3分，新增1支团队得0.5分，2支及以上得1分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16"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cs="宋体"/>
                <w:b/>
                <w:color w:val="auto"/>
                <w:kern w:val="0"/>
                <w:sz w:val="18"/>
                <w:szCs w:val="1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3、积极鼓励学生团队参与各级各类双创比赛，申报省市级训练计划（2分）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积极组织参与比赛得</w:t>
            </w:r>
            <w:r>
              <w:rPr>
                <w:rFonts w:hint="eastAsia" w:ascii="宋体" w:hAnsi="宋体" w:eastAsia="宋体" w:cs="宋体"/>
                <w:color w:val="auto"/>
                <w:kern w:val="0"/>
                <w:sz w:val="18"/>
                <w:szCs w:val="18"/>
                <w:lang w:val="en-US" w:eastAsia="zh-CN"/>
              </w:rPr>
              <w:t>1.5分，获奖或省市项目计划申报成功得0.5分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4320" w:type="dxa"/>
            <w:gridSpan w:val="4"/>
            <w:tcBorders>
              <w:left w:val="single" w:color="auto" w:sz="4" w:space="0"/>
              <w:right w:val="single" w:color="auto" w:sz="4" w:space="0"/>
            </w:tcBorders>
            <w:noWrap w:val="0"/>
            <w:vAlign w:val="center"/>
          </w:tcPr>
          <w:p>
            <w:pPr>
              <w:widowControl/>
              <w:spacing w:line="300" w:lineRule="exact"/>
              <w:jc w:val="center"/>
              <w:rPr>
                <w:rFonts w:hint="eastAsia" w:ascii="宋体" w:hAnsi="宋体" w:cs="宋体"/>
                <w:color w:val="auto"/>
                <w:kern w:val="0"/>
                <w:sz w:val="18"/>
                <w:szCs w:val="18"/>
                <w:lang w:eastAsia="zh-CN"/>
              </w:rPr>
            </w:pPr>
            <w:r>
              <w:rPr>
                <w:rFonts w:hint="eastAsia" w:ascii="宋体" w:hAnsi="宋体" w:cs="宋体"/>
                <w:b/>
                <w:color w:val="auto"/>
                <w:kern w:val="0"/>
                <w:sz w:val="18"/>
                <w:szCs w:val="18"/>
                <w:lang w:eastAsia="zh-CN"/>
              </w:rPr>
              <w:t>总分</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宋体" w:hAnsi="宋体" w:cs="宋体"/>
                <w:color w:val="auto"/>
                <w:kern w:val="0"/>
                <w:sz w:val="18"/>
                <w:szCs w:val="18"/>
              </w:rPr>
            </w:pPr>
          </w:p>
        </w:tc>
      </w:tr>
    </w:tbl>
    <w:p>
      <w:pPr>
        <w:rPr>
          <w:rFonts w:hint="eastAsia" w:ascii="黑体" w:hAnsi="黑体" w:eastAsia="黑体" w:cs="黑体"/>
          <w:b w:val="0"/>
          <w:bCs w:val="0"/>
          <w:color w:val="auto"/>
          <w:kern w:val="0"/>
          <w:sz w:val="21"/>
          <w:szCs w:val="21"/>
          <w:lang w:eastAsia="zh-CN"/>
        </w:rPr>
      </w:pPr>
    </w:p>
    <w:p>
      <w:pP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eastAsia="zh-CN"/>
        </w:rPr>
        <w:t>备注：</w:t>
      </w:r>
      <w:r>
        <w:rPr>
          <w:rFonts w:hint="eastAsia" w:ascii="黑体" w:hAnsi="黑体" w:eastAsia="黑体" w:cs="黑体"/>
          <w:b w:val="0"/>
          <w:bCs w:val="0"/>
          <w:color w:val="auto"/>
          <w:kern w:val="0"/>
          <w:sz w:val="21"/>
          <w:szCs w:val="21"/>
          <w:lang w:val="en-US" w:eastAsia="zh-CN"/>
        </w:rPr>
        <w:t>同类型获奖，只取最高奖项，并且只计一次，不超过最高分</w:t>
      </w:r>
    </w:p>
    <w:p>
      <w:pPr>
        <w:ind w:firstLine="840" w:firstLineChars="300"/>
        <w:rPr>
          <w:rFonts w:hint="eastAsia" w:ascii="宋体" w:hAnsi="宋体" w:cs="宋体"/>
          <w:b w:val="0"/>
          <w:bCs w:val="0"/>
          <w:color w:val="auto"/>
          <w:kern w:val="0"/>
          <w:sz w:val="28"/>
          <w:szCs w:val="28"/>
        </w:rPr>
      </w:pPr>
    </w:p>
    <w:p>
      <w:pPr>
        <w:ind w:firstLine="840" w:firstLineChars="300"/>
        <w:rPr>
          <w:rFonts w:hint="eastAsia" w:ascii="宋体" w:hAnsi="宋体" w:cs="宋体"/>
          <w:b w:val="0"/>
          <w:bCs w:val="0"/>
          <w:color w:val="auto"/>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827B3"/>
    <w:rsid w:val="6F28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2225</Words>
  <Characters>2322</Characters>
  <Lines>0</Lines>
  <Paragraphs>0</Paragraphs>
  <TotalTime>0</TotalTime>
  <ScaleCrop>false</ScaleCrop>
  <LinksUpToDate>false</LinksUpToDate>
  <CharactersWithSpaces>2357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2022-04-11T14:55:00Z</dcterms:created>
  <dc:creator>hexin</dc:creator>
  <cp:lastModifiedBy>JUAN</cp:lastModifiedBy>
  <dcterms:modified xsi:type="dcterms:W3CDTF">2022-04-17T08:13:35Z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528AF94D3241425787658665B01D7FE8</vt:lpwstr>
  </property>
</Properties>
</file>